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方正小标宋简体" w:eastAsia="方正小标宋简体"/>
          <w:sz w:val="36"/>
          <w:szCs w:val="36"/>
        </w:rPr>
      </w:pPr>
    </w:p>
    <w:p>
      <w:pPr>
        <w:adjustRightInd w:val="0"/>
        <w:snapToGrid w:val="0"/>
        <w:jc w:val="center"/>
        <w:rPr>
          <w:rFonts w:ascii="方正小标宋简体" w:hAnsi="黑体" w:eastAsia="方正小标宋简体"/>
          <w:sz w:val="44"/>
          <w:szCs w:val="44"/>
        </w:rPr>
      </w:pPr>
      <w:r>
        <w:rPr>
          <w:rFonts w:hint="eastAsia" w:ascii="方正小标宋简体" w:hAnsi="黑体" w:eastAsia="方正小标宋简体"/>
          <w:sz w:val="44"/>
          <w:szCs w:val="44"/>
        </w:rPr>
        <w:t>湖北第二师范学院</w:t>
      </w:r>
    </w:p>
    <w:p>
      <w:pPr>
        <w:adjustRightInd w:val="0"/>
        <w:snapToGrid w:val="0"/>
        <w:jc w:val="center"/>
        <w:rPr>
          <w:rFonts w:ascii="方正小标宋简体" w:hAnsi="黑体" w:eastAsia="方正小标宋简体"/>
          <w:sz w:val="44"/>
          <w:szCs w:val="44"/>
        </w:rPr>
      </w:pPr>
      <w:r>
        <w:rPr>
          <w:rFonts w:hint="eastAsia" w:ascii="方正小标宋简体" w:hAnsi="黑体" w:eastAsia="方正小标宋简体"/>
          <w:sz w:val="44"/>
          <w:szCs w:val="44"/>
        </w:rPr>
        <w:t>人才引进科研启动经费管理办法（试行）</w:t>
      </w:r>
    </w:p>
    <w:p>
      <w:pPr>
        <w:adjustRightInd w:val="0"/>
        <w:snapToGrid w:val="0"/>
        <w:spacing w:line="360" w:lineRule="auto"/>
        <w:jc w:val="center"/>
        <w:rPr>
          <w:rFonts w:ascii="仿宋_GB2312" w:eastAsia="仿宋_GB2312"/>
          <w:b/>
          <w:sz w:val="32"/>
          <w:szCs w:val="32"/>
        </w:rPr>
      </w:pPr>
    </w:p>
    <w:p>
      <w:pPr>
        <w:adjustRightInd w:val="0"/>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为进一步规范和加强我校引进人才科研启动经费的管理，提高科研启动经费的使用效益，更好发挥高水平人才队伍对学科专业建设的引领支撑作用，根据</w:t>
      </w:r>
      <w:r>
        <w:rPr>
          <w:rFonts w:hint="eastAsia" w:ascii="仿宋_GB2312" w:eastAsia="仿宋_GB2312"/>
          <w:color w:val="auto"/>
          <w:sz w:val="32"/>
          <w:szCs w:val="32"/>
          <w:lang w:val="en-US" w:eastAsia="zh-CN"/>
        </w:rPr>
        <w:t>上级</w:t>
      </w:r>
      <w:r>
        <w:rPr>
          <w:rFonts w:hint="eastAsia" w:ascii="仿宋_GB2312" w:eastAsia="仿宋_GB2312"/>
          <w:color w:val="auto"/>
          <w:sz w:val="32"/>
          <w:szCs w:val="32"/>
        </w:rPr>
        <w:t>有关规定，</w:t>
      </w:r>
      <w:r>
        <w:rPr>
          <w:rFonts w:hint="eastAsia" w:ascii="仿宋_GB2312" w:eastAsia="仿宋_GB2312"/>
          <w:color w:val="auto"/>
          <w:sz w:val="32"/>
          <w:szCs w:val="32"/>
          <w:lang w:val="en-US" w:eastAsia="zh-CN"/>
        </w:rPr>
        <w:t>结合我校实际，</w:t>
      </w:r>
      <w:r>
        <w:rPr>
          <w:rFonts w:hint="eastAsia" w:ascii="仿宋_GB2312" w:eastAsia="仿宋_GB2312"/>
          <w:color w:val="auto"/>
          <w:sz w:val="32"/>
          <w:szCs w:val="32"/>
        </w:rPr>
        <w:t>特制定本办法。</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一、申请对象及期限</w:t>
      </w:r>
    </w:p>
    <w:p>
      <w:pPr>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1.</w:t>
      </w:r>
      <w:r>
        <w:rPr>
          <w:rFonts w:hint="eastAsia" w:ascii="仿宋_GB2312" w:eastAsia="仿宋_GB2312"/>
          <w:sz w:val="32"/>
          <w:szCs w:val="32"/>
        </w:rPr>
        <w:t>申请人为我校引进的高层次人才及</w:t>
      </w:r>
      <w:r>
        <w:rPr>
          <w:rFonts w:hint="eastAsia" w:ascii="仿宋_GB2312" w:eastAsia="仿宋_GB2312"/>
          <w:color w:val="auto"/>
          <w:sz w:val="32"/>
          <w:szCs w:val="32"/>
        </w:rPr>
        <w:t>博士以上</w:t>
      </w:r>
      <w:r>
        <w:rPr>
          <w:rFonts w:hint="eastAsia" w:ascii="仿宋_GB2312" w:eastAsia="仿宋_GB2312"/>
          <w:sz w:val="32"/>
          <w:szCs w:val="32"/>
        </w:rPr>
        <w:t>专任教师，科研启动经费额度按其入校时与学校所签协议执行。</w:t>
      </w:r>
    </w:p>
    <w:p>
      <w:pPr>
        <w:tabs>
          <w:tab w:val="left" w:pos="8802"/>
        </w:tabs>
        <w:adjustRightInd w:val="0"/>
        <w:snapToGrid w:val="0"/>
        <w:spacing w:line="360" w:lineRule="auto"/>
        <w:ind w:firstLine="643" w:firstLineChars="200"/>
        <w:jc w:val="left"/>
        <w:rPr>
          <w:rFonts w:ascii="仿宋_GB2312" w:eastAsia="仿宋_GB2312"/>
          <w:b/>
          <w:i/>
          <w:sz w:val="32"/>
          <w:szCs w:val="32"/>
        </w:rPr>
      </w:pPr>
      <w:r>
        <w:rPr>
          <w:rFonts w:hint="eastAsia" w:ascii="仿宋_GB2312" w:eastAsia="仿宋_GB2312"/>
          <w:b/>
          <w:bCs/>
          <w:sz w:val="32"/>
          <w:szCs w:val="32"/>
        </w:rPr>
        <w:t>2.</w:t>
      </w:r>
      <w:r>
        <w:rPr>
          <w:rFonts w:hint="eastAsia" w:ascii="仿宋_GB2312" w:eastAsia="仿宋_GB2312"/>
          <w:sz w:val="32"/>
          <w:szCs w:val="32"/>
        </w:rPr>
        <w:t>科研启动经费使用期限一般为3年</w:t>
      </w:r>
      <w:r>
        <w:rPr>
          <w:rFonts w:hint="eastAsia" w:ascii="仿宋_GB2312" w:eastAsia="仿宋_GB2312"/>
          <w:color w:val="auto"/>
          <w:sz w:val="32"/>
          <w:szCs w:val="32"/>
        </w:rPr>
        <w:t>（以拨付当年算起），</w:t>
      </w:r>
      <w:r>
        <w:rPr>
          <w:rFonts w:hint="eastAsia" w:ascii="仿宋_GB2312" w:eastAsia="仿宋_GB2312"/>
          <w:sz w:val="32"/>
          <w:szCs w:val="32"/>
        </w:rPr>
        <w:t>如因研究计划需要延期，</w:t>
      </w:r>
      <w:r>
        <w:rPr>
          <w:rFonts w:hint="eastAsia" w:ascii="仿宋_GB2312" w:eastAsia="仿宋_GB2312"/>
          <w:color w:val="auto"/>
          <w:sz w:val="32"/>
          <w:szCs w:val="32"/>
        </w:rPr>
        <w:t>应由本人提出申请报科研处审核后方可调整，</w:t>
      </w:r>
      <w:r>
        <w:rPr>
          <w:rFonts w:hint="eastAsia" w:ascii="仿宋_GB2312" w:eastAsia="仿宋_GB2312"/>
          <w:sz w:val="32"/>
          <w:szCs w:val="32"/>
        </w:rPr>
        <w:t>一般不超过1年。若项目负责人在服务期内调离学校，应退回已使用的科研启动经费。</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二、项目申请</w:t>
      </w:r>
      <w:r>
        <w:rPr>
          <w:rFonts w:hint="eastAsia" w:ascii="黑体" w:hAnsi="黑体" w:eastAsia="黑体"/>
          <w:color w:val="auto"/>
          <w:sz w:val="32"/>
          <w:szCs w:val="32"/>
        </w:rPr>
        <w:t>与</w:t>
      </w:r>
      <w:r>
        <w:rPr>
          <w:rFonts w:hint="eastAsia" w:ascii="黑体" w:hAnsi="黑体" w:eastAsia="黑体"/>
          <w:sz w:val="32"/>
          <w:szCs w:val="32"/>
        </w:rPr>
        <w:t>评审</w:t>
      </w:r>
    </w:p>
    <w:p>
      <w:pPr>
        <w:adjustRightInd w:val="0"/>
        <w:snapToGrid w:val="0"/>
        <w:spacing w:line="360" w:lineRule="auto"/>
        <w:ind w:firstLine="640" w:firstLineChars="200"/>
        <w:rPr>
          <w:rFonts w:ascii="仿宋_GB2312" w:eastAsia="仿宋_GB2312"/>
          <w:bCs/>
          <w:sz w:val="32"/>
          <w:szCs w:val="32"/>
        </w:rPr>
      </w:pPr>
      <w:r>
        <w:rPr>
          <w:rFonts w:hint="eastAsia" w:ascii="仿宋_GB2312" w:eastAsia="仿宋_GB2312"/>
          <w:sz w:val="32"/>
          <w:szCs w:val="32"/>
        </w:rPr>
        <w:t>1.</w:t>
      </w:r>
      <w:r>
        <w:rPr>
          <w:rFonts w:hint="eastAsia" w:ascii="仿宋_GB2312" w:eastAsia="仿宋_GB2312"/>
          <w:bCs/>
          <w:color w:val="auto"/>
          <w:sz w:val="32"/>
          <w:szCs w:val="32"/>
        </w:rPr>
        <w:t>申请人在入职后根据入职协议中商定的支持金额向科研处进行提出申请，经审批后立项。</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申请人需填写《湖北第二师范学院科研启动经费项目申请书》并提供相关材料，申请人所在学院组织学术委员会负责初审，重点对申请书内容的真实性、方案的可行性、经费预算的合理性、基本科研条件能否保证和预期目标能否实现进行审核，所在学院签署推荐意见并加盖公章后送至科研处，科研处组织相关专家对初审合格项目进行评审，评审通过后报学校审批立项。</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正式批准立项的科研启动经费，不得擅自改换项目名称及研究内容，如确实属于客观原因需要更改的，需由项目负责人提出书面申请，申请人所在学院学术委员会审核通过后，负责人签字并加盖所在单位公章后，报科研处备案。</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三、经费使用与</w:t>
      </w:r>
      <w:r>
        <w:rPr>
          <w:rFonts w:hint="eastAsia" w:ascii="黑体" w:hAnsi="黑体" w:eastAsia="黑体"/>
          <w:sz w:val="32"/>
          <w:szCs w:val="32"/>
          <w:lang w:val="en-US" w:eastAsia="zh-CN"/>
        </w:rPr>
        <w:t>结项</w:t>
      </w:r>
      <w:r>
        <w:rPr>
          <w:rFonts w:hint="eastAsia" w:ascii="黑体" w:hAnsi="黑体" w:eastAsia="黑体"/>
          <w:sz w:val="32"/>
          <w:szCs w:val="32"/>
        </w:rPr>
        <w:t>管理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1.科研启动经费实行项目负责制，由项目负责人在科研处、财务处指导下按计划自主支配项目经费。科研启动经费开支范围按照学校科研经费有关管理办法执行。</w:t>
      </w:r>
    </w:p>
    <w:p>
      <w:pPr>
        <w:adjustRightInd w:val="0"/>
        <w:snapToGrid w:val="0"/>
        <w:spacing w:line="360" w:lineRule="auto"/>
        <w:ind w:firstLine="640" w:firstLineChars="200"/>
        <w:rPr>
          <w:rFonts w:ascii="仿宋_GB2312" w:eastAsia="仿宋_GB2312"/>
          <w:color w:val="FF0000"/>
          <w:sz w:val="32"/>
          <w:szCs w:val="32"/>
        </w:rPr>
      </w:pPr>
      <w:r>
        <w:rPr>
          <w:rFonts w:hint="eastAsia" w:ascii="仿宋_GB2312" w:eastAsia="仿宋_GB2312"/>
          <w:sz w:val="32"/>
          <w:szCs w:val="32"/>
        </w:rPr>
        <w:t>2.项目负责人每年须通过科研处科研管理系统平台提交项目进展和科研启动经费使用情况报告。科研处负责对科研启动经费进行中期检查和结题验收。</w:t>
      </w:r>
      <w:r>
        <w:rPr>
          <w:rFonts w:hint="eastAsia" w:ascii="仿宋_GB2312" w:eastAsia="仿宋_GB2312"/>
          <w:color w:val="auto"/>
          <w:sz w:val="32"/>
          <w:szCs w:val="32"/>
        </w:rPr>
        <w:t>当使用期限结束时，结余经费由学校统筹使用。</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3.专任教师需完成首聘期</w:t>
      </w:r>
      <w:r>
        <w:rPr>
          <w:rFonts w:hint="eastAsia" w:ascii="仿宋_GB2312" w:eastAsia="仿宋_GB2312"/>
          <w:sz w:val="32"/>
          <w:szCs w:val="32"/>
          <w:lang w:val="en-US" w:eastAsia="zh-CN"/>
        </w:rPr>
        <w:t>协议</w:t>
      </w:r>
      <w:bookmarkStart w:id="0" w:name="_GoBack"/>
      <w:bookmarkEnd w:id="0"/>
      <w:r>
        <w:rPr>
          <w:rFonts w:hint="eastAsia" w:ascii="仿宋_GB2312" w:eastAsia="仿宋_GB2312"/>
          <w:sz w:val="32"/>
          <w:szCs w:val="32"/>
        </w:rPr>
        <w:t>任务后方可结项，光谷学者岗位的结项标准以协议方式另行确定。</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申请人公开发表的成果应注明“湖北第二师范学院XX省级科研平台支持”，鼓励指导学生作为第一作者发表科研成果（教师需注明通讯作者），结题考核优秀者将享有竞争性科研项目申报的优先推荐资格。科研启动经费研究成果的知识产权归湖北第二师范学院所有。</w:t>
      </w:r>
    </w:p>
    <w:p>
      <w:pPr>
        <w:tabs>
          <w:tab w:val="left" w:pos="8802"/>
        </w:tabs>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5.项目完成后，项目负责人须填写《湖北第二师范学院科研启动经费项目结项申请表》及结题报告，并按要求提供相应支撑材料，科研处组织专家进行结题评审，评审结果公示后发文。</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四、本办法自公布之日起实施，由人事处、科研处负责解释。</w:t>
      </w:r>
      <w:r>
        <w:rPr>
          <w:rFonts w:hint="eastAsia" w:ascii="黑体" w:hAnsi="黑体" w:eastAsia="黑体"/>
          <w:sz w:val="32"/>
          <w:szCs w:val="32"/>
          <w:lang w:val="en-US" w:eastAsia="zh-CN"/>
        </w:rPr>
        <w:t>原《湖北第二师范学院人才引进科研启动经费管理办法（试行）》（鄂二师院行[2017]14号）同时废止。</w:t>
      </w:r>
    </w:p>
    <w:sectPr>
      <w:footerReference r:id="rId3" w:type="default"/>
      <w:footerReference r:id="rId4" w:type="even"/>
      <w:pgSz w:w="11906" w:h="16838"/>
      <w:pgMar w:top="1440" w:right="1531" w:bottom="1440"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3546"/>
    </w:sdtPr>
    <w:sdtEndPr>
      <w:rPr>
        <w:rFonts w:asciiTheme="minorEastAsia" w:hAnsiTheme="minorEastAsia" w:eastAsiaTheme="minorEastAsia"/>
        <w:sz w:val="28"/>
        <w:szCs w:val="28"/>
      </w:rPr>
    </w:sdtEndPr>
    <w:sdtContent>
      <w:p>
        <w:pPr>
          <w:pStyle w:val="3"/>
          <w:numPr>
            <w:ilvl w:val="0"/>
            <w:numId w:val="1"/>
          </w:numPr>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3556"/>
    </w:sdtPr>
    <w:sdtContent>
      <w:p>
        <w:pPr>
          <w:pStyle w:val="3"/>
          <w:numPr>
            <w:ilvl w:val="0"/>
            <w:numId w:val="2"/>
          </w:num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B5EB2"/>
    <w:multiLevelType w:val="multilevel"/>
    <w:tmpl w:val="044B5EB2"/>
    <w:lvl w:ilvl="0" w:tentative="0">
      <w:start w:val="2"/>
      <w:numFmt w:val="bullet"/>
      <w:lvlText w:val="—"/>
      <w:lvlJc w:val="left"/>
      <w:pPr>
        <w:ind w:left="450" w:hanging="360"/>
      </w:pPr>
      <w:rPr>
        <w:rFonts w:hint="eastAsia" w:ascii="宋体" w:hAnsi="宋体" w:eastAsia="宋体" w:cs="Times New Roman"/>
        <w:sz w:val="28"/>
      </w:rPr>
    </w:lvl>
    <w:lvl w:ilvl="1" w:tentative="0">
      <w:start w:val="1"/>
      <w:numFmt w:val="bullet"/>
      <w:lvlText w:val=""/>
      <w:lvlJc w:val="left"/>
      <w:pPr>
        <w:ind w:left="930" w:hanging="420"/>
      </w:pPr>
      <w:rPr>
        <w:rFonts w:hint="default" w:ascii="Wingdings" w:hAnsi="Wingdings"/>
      </w:rPr>
    </w:lvl>
    <w:lvl w:ilvl="2" w:tentative="0">
      <w:start w:val="1"/>
      <w:numFmt w:val="bullet"/>
      <w:lvlText w:val=""/>
      <w:lvlJc w:val="left"/>
      <w:pPr>
        <w:ind w:left="1350" w:hanging="420"/>
      </w:pPr>
      <w:rPr>
        <w:rFonts w:hint="default" w:ascii="Wingdings" w:hAnsi="Wingdings"/>
      </w:rPr>
    </w:lvl>
    <w:lvl w:ilvl="3" w:tentative="0">
      <w:start w:val="1"/>
      <w:numFmt w:val="bullet"/>
      <w:lvlText w:val=""/>
      <w:lvlJc w:val="left"/>
      <w:pPr>
        <w:ind w:left="1770" w:hanging="420"/>
      </w:pPr>
      <w:rPr>
        <w:rFonts w:hint="default" w:ascii="Wingdings" w:hAnsi="Wingdings"/>
      </w:rPr>
    </w:lvl>
    <w:lvl w:ilvl="4" w:tentative="0">
      <w:start w:val="1"/>
      <w:numFmt w:val="bullet"/>
      <w:lvlText w:val=""/>
      <w:lvlJc w:val="left"/>
      <w:pPr>
        <w:ind w:left="2190" w:hanging="420"/>
      </w:pPr>
      <w:rPr>
        <w:rFonts w:hint="default" w:ascii="Wingdings" w:hAnsi="Wingdings"/>
      </w:rPr>
    </w:lvl>
    <w:lvl w:ilvl="5" w:tentative="0">
      <w:start w:val="1"/>
      <w:numFmt w:val="bullet"/>
      <w:lvlText w:val=""/>
      <w:lvlJc w:val="left"/>
      <w:pPr>
        <w:ind w:left="2610" w:hanging="420"/>
      </w:pPr>
      <w:rPr>
        <w:rFonts w:hint="default" w:ascii="Wingdings" w:hAnsi="Wingdings"/>
      </w:rPr>
    </w:lvl>
    <w:lvl w:ilvl="6" w:tentative="0">
      <w:start w:val="1"/>
      <w:numFmt w:val="bullet"/>
      <w:lvlText w:val=""/>
      <w:lvlJc w:val="left"/>
      <w:pPr>
        <w:ind w:left="3030" w:hanging="420"/>
      </w:pPr>
      <w:rPr>
        <w:rFonts w:hint="default" w:ascii="Wingdings" w:hAnsi="Wingdings"/>
      </w:rPr>
    </w:lvl>
    <w:lvl w:ilvl="7" w:tentative="0">
      <w:start w:val="1"/>
      <w:numFmt w:val="bullet"/>
      <w:lvlText w:val=""/>
      <w:lvlJc w:val="left"/>
      <w:pPr>
        <w:ind w:left="3450" w:hanging="420"/>
      </w:pPr>
      <w:rPr>
        <w:rFonts w:hint="default" w:ascii="Wingdings" w:hAnsi="Wingdings"/>
      </w:rPr>
    </w:lvl>
    <w:lvl w:ilvl="8" w:tentative="0">
      <w:start w:val="1"/>
      <w:numFmt w:val="bullet"/>
      <w:lvlText w:val=""/>
      <w:lvlJc w:val="left"/>
      <w:pPr>
        <w:ind w:left="3870" w:hanging="420"/>
      </w:pPr>
      <w:rPr>
        <w:rFonts w:hint="default" w:ascii="Wingdings" w:hAnsi="Wingdings"/>
      </w:rPr>
    </w:lvl>
  </w:abstractNum>
  <w:abstractNum w:abstractNumId="1">
    <w:nsid w:val="772A5B0D"/>
    <w:multiLevelType w:val="multilevel"/>
    <w:tmpl w:val="772A5B0D"/>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MWIzYjU0ZWQ2ZjYyMGVlYWFkY2QwNmViNzkxYWQifQ=="/>
  </w:docVars>
  <w:rsids>
    <w:rsidRoot w:val="00FE3A43"/>
    <w:rsid w:val="00036426"/>
    <w:rsid w:val="00095BEE"/>
    <w:rsid w:val="0040417F"/>
    <w:rsid w:val="005C4079"/>
    <w:rsid w:val="00690D80"/>
    <w:rsid w:val="006B169B"/>
    <w:rsid w:val="007C1A25"/>
    <w:rsid w:val="007D2007"/>
    <w:rsid w:val="00876A62"/>
    <w:rsid w:val="0090063F"/>
    <w:rsid w:val="0094086A"/>
    <w:rsid w:val="00977577"/>
    <w:rsid w:val="00AE4903"/>
    <w:rsid w:val="00B6306E"/>
    <w:rsid w:val="00BB5843"/>
    <w:rsid w:val="00C61E4F"/>
    <w:rsid w:val="00D4490C"/>
    <w:rsid w:val="00DE2098"/>
    <w:rsid w:val="00E52E63"/>
    <w:rsid w:val="00E55A6B"/>
    <w:rsid w:val="00E63658"/>
    <w:rsid w:val="00EB6000"/>
    <w:rsid w:val="00F5564A"/>
    <w:rsid w:val="00FE3A43"/>
    <w:rsid w:val="11E53A53"/>
    <w:rsid w:val="151A640F"/>
    <w:rsid w:val="17346F63"/>
    <w:rsid w:val="29613173"/>
    <w:rsid w:val="3A7C3201"/>
    <w:rsid w:val="3B0D13D4"/>
    <w:rsid w:val="42844F7F"/>
    <w:rsid w:val="46CE2B3F"/>
    <w:rsid w:val="568D4657"/>
    <w:rsid w:val="620D2992"/>
    <w:rsid w:val="67DE374F"/>
    <w:rsid w:val="70122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FollowedHyperlink"/>
    <w:basedOn w:val="6"/>
    <w:semiHidden/>
    <w:unhideWhenUsed/>
    <w:uiPriority w:val="99"/>
    <w:rPr>
      <w:color w:val="333333"/>
      <w:u w:val="none"/>
    </w:rPr>
  </w:style>
  <w:style w:type="character" w:styleId="9">
    <w:name w:val="Hyperlink"/>
    <w:basedOn w:val="6"/>
    <w:semiHidden/>
    <w:unhideWhenUsed/>
    <w:uiPriority w:val="99"/>
    <w:rPr>
      <w:color w:val="333333"/>
      <w:u w:val="none"/>
    </w:rPr>
  </w:style>
  <w:style w:type="character" w:styleId="10">
    <w:name w:val="HTML Code"/>
    <w:basedOn w:val="6"/>
    <w:semiHidden/>
    <w:unhideWhenUsed/>
    <w:uiPriority w:val="99"/>
    <w:rPr>
      <w:rFonts w:ascii="Courier New" w:hAnsi="Courier New"/>
      <w:sz w:val="20"/>
    </w:rPr>
  </w:style>
  <w:style w:type="character" w:styleId="11">
    <w:name w:val="HTML Keyboard"/>
    <w:basedOn w:val="6"/>
    <w:semiHidden/>
    <w:unhideWhenUsed/>
    <w:uiPriority w:val="99"/>
    <w:rPr>
      <w:rFonts w:ascii="Courier New" w:hAnsi="Courier New"/>
      <w:sz w:val="20"/>
    </w:rPr>
  </w:style>
  <w:style w:type="character" w:styleId="12">
    <w:name w:val="HTML Sample"/>
    <w:basedOn w:val="6"/>
    <w:semiHidden/>
    <w:unhideWhenUsed/>
    <w:uiPriority w:val="99"/>
    <w:rPr>
      <w:rFonts w:ascii="Courier New" w:hAnsi="Courier New"/>
    </w:rPr>
  </w:style>
  <w:style w:type="character" w:customStyle="1" w:styleId="13">
    <w:name w:val="页脚 Char"/>
    <w:basedOn w:val="6"/>
    <w:link w:val="3"/>
    <w:qFormat/>
    <w:uiPriority w:val="99"/>
    <w:rPr>
      <w:rFonts w:ascii="Times New Roman" w:hAnsi="Times New Roman" w:eastAsia="宋体" w:cs="Times New Roman"/>
      <w:sz w:val="18"/>
      <w:szCs w:val="18"/>
    </w:rPr>
  </w:style>
  <w:style w:type="character" w:customStyle="1" w:styleId="14">
    <w:name w:val="页眉 Char"/>
    <w:basedOn w:val="6"/>
    <w:link w:val="4"/>
    <w:semiHidden/>
    <w:qFormat/>
    <w:uiPriority w:val="99"/>
    <w:rPr>
      <w:rFonts w:ascii="Times New Roman" w:hAnsi="Times New Roman" w:eastAsia="宋体" w:cs="Times New Roman"/>
      <w:sz w:val="18"/>
      <w:szCs w:val="18"/>
    </w:rPr>
  </w:style>
  <w:style w:type="character" w:customStyle="1" w:styleId="15">
    <w:name w:val="批注框文本 Char"/>
    <w:basedOn w:val="6"/>
    <w:link w:val="2"/>
    <w:semiHidden/>
    <w:uiPriority w:val="99"/>
    <w:rPr>
      <w:rFonts w:ascii="Times New Roman" w:hAnsi="Times New Roman" w:eastAsia="宋体" w:cs="Times New Roman"/>
      <w:kern w:val="2"/>
      <w:sz w:val="18"/>
      <w:szCs w:val="18"/>
    </w:rPr>
  </w:style>
  <w:style w:type="character" w:customStyle="1" w:styleId="16">
    <w:name w:val="news_title"/>
    <w:basedOn w:val="6"/>
    <w:uiPriority w:val="0"/>
  </w:style>
  <w:style w:type="character" w:customStyle="1" w:styleId="17">
    <w:name w:val="news_meta"/>
    <w:basedOn w:val="6"/>
    <w:uiPriority w:val="0"/>
  </w:style>
  <w:style w:type="character" w:customStyle="1" w:styleId="18">
    <w:name w:val="column-name"/>
    <w:basedOn w:val="6"/>
    <w:uiPriority w:val="0"/>
    <w:rPr>
      <w:color w:val="124D83"/>
    </w:rPr>
  </w:style>
  <w:style w:type="character" w:customStyle="1" w:styleId="19">
    <w:name w:val="column-name1"/>
    <w:basedOn w:val="6"/>
    <w:uiPriority w:val="0"/>
    <w:rPr>
      <w:color w:val="124D83"/>
    </w:rPr>
  </w:style>
  <w:style w:type="character" w:customStyle="1" w:styleId="20">
    <w:name w:val="column-name2"/>
    <w:basedOn w:val="6"/>
    <w:uiPriority w:val="0"/>
    <w:rPr>
      <w:color w:val="124D83"/>
    </w:rPr>
  </w:style>
  <w:style w:type="character" w:customStyle="1" w:styleId="21">
    <w:name w:val="column-name3"/>
    <w:basedOn w:val="6"/>
    <w:uiPriority w:val="0"/>
    <w:rPr>
      <w:color w:val="124D83"/>
    </w:rPr>
  </w:style>
  <w:style w:type="character" w:customStyle="1" w:styleId="22">
    <w:name w:val="column-name4"/>
    <w:basedOn w:val="6"/>
    <w:uiPriority w:val="0"/>
    <w:rPr>
      <w:color w:val="124D83"/>
    </w:rPr>
  </w:style>
  <w:style w:type="character" w:customStyle="1" w:styleId="23">
    <w:name w:val="item-name"/>
    <w:basedOn w:val="6"/>
    <w:uiPriority w:val="0"/>
  </w:style>
  <w:style w:type="character" w:customStyle="1" w:styleId="24">
    <w:name w:val="item-name1"/>
    <w:basedOn w:val="6"/>
    <w:uiPriority w:val="0"/>
  </w:style>
  <w:style w:type="character" w:customStyle="1" w:styleId="25">
    <w:name w:val="pubdate-month"/>
    <w:basedOn w:val="6"/>
    <w:uiPriority w:val="0"/>
    <w:rPr>
      <w:color w:val="FFFFFF"/>
      <w:sz w:val="24"/>
      <w:szCs w:val="24"/>
      <w:shd w:val="clear" w:fill="CC0000"/>
    </w:rPr>
  </w:style>
  <w:style w:type="character" w:customStyle="1" w:styleId="26">
    <w:name w:val="pubdate-day"/>
    <w:basedOn w:val="6"/>
    <w:uiPriority w:val="0"/>
    <w:rPr>
      <w:shd w:val="clear" w:fill="F2F2F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1060</Words>
  <Characters>1078</Characters>
  <Lines>9</Lines>
  <Paragraphs>2</Paragraphs>
  <TotalTime>6</TotalTime>
  <ScaleCrop>false</ScaleCrop>
  <LinksUpToDate>false</LinksUpToDate>
  <CharactersWithSpaces>1078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2017-04-18T07:29:00Z</dcterms:created>
  <dc:creator>万户网络</dc:creator>
  <cp:lastModifiedBy>Administrator</cp:lastModifiedBy>
  <cp:lastPrinted>2017-04-26T01:05:00Z</cp:lastPrinted>
  <dcterms:modified xsi:type="dcterms:W3CDTF">2022-05-25T02:41:01Z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76876C381DA047539F3049429FDB74ED</vt:lpwstr>
  </property>
</Properties>
</file>